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p w14:paraId="5C227C67" w14:textId="77777777" w:rsidR="002161DB" w:rsidRDefault="00000000" vyd:_id="vyd:00000000000047">
      <w:pPr>
        <w:shd w:val="clear" w:color="auto" w:fill="FFFFFF"/>
        <w:rPr>
          <w:rFonts w:ascii="Arial" w:hAnsi="Arial" w:eastAsia="Times New Roman" w:cs="Arial"/>
          <w:sz w:val="34"/>
          <w:color w:val="2F3236"/>
          <w:szCs w:val="34"/>
        </w:rPr>
      </w:pPr>
      <w:r>
        <w:rPr>
          <w:rFonts w:ascii="Arial" w:hAnsi="Arial" w:eastAsia="Times New Roman" w:cs="Arial"/>
          <w:sz w:val="34"/>
          <w:color w:val="2F3236"/>
          <w:szCs w:val="34"/>
        </w:rPr>
        <w:t vyd:_id="vyd:0000000000004a" xml:space="preserve">Правила проведения акции «Раннее бронирование летних программ. </w:t>
      </w:r>
      <w:r>
        <w:rPr>
          <w:rFonts w:ascii="Arial" w:hAnsi="Arial" w:eastAsia="Times New Roman" w:cs="Arial"/>
          <w:sz w:val="34"/>
          <w:color w:val="2F3236"/>
          <w:b w:val="1"/>
          <w:bCs w:val="1"/>
          <w:szCs w:val="34"/>
        </w:rPr>
        <w:t vyd:_id="vyd:00000000000049">Май</w:t>
      </w:r>
      <w:r>
        <w:rPr>
          <w:rFonts w:ascii="Arial" w:hAnsi="Arial" w:eastAsia="Times New Roman" w:cs="Arial"/>
          <w:sz w:val="34"/>
          <w:color w:val="2F3236"/>
          <w:szCs w:val="34"/>
        </w:rPr>
        <w:t vyd:_id="vyd:00000000000048">»</w:t>
      </w:r>
    </w:p>
    <w:p w14:paraId="320B7421" w14:textId="77777777" w:rsidR="002161DB" w:rsidRDefault="00000000" vyd:_id="vyd:00000000000045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zCs w:val="20"/>
        </w:rPr>
      </w:pPr>
      <w:r>
        <w:rPr>
          <w:rFonts w:ascii="Arial" w:hAnsi="Arial" w:eastAsia="Times New Roman" w:cs="Arial"/>
          <w:sz w:val="20"/>
          <w:color w:val="2F3236"/>
          <w:szCs w:val="20"/>
        </w:rPr>
        <w:t vyd:_id="vyd:00000000000046">1. Настоящие правила закрепляют порядок проведения акции «Раннее бронирование летних программ. Май» (далее — акция и Правила).</w:t>
      </w:r>
    </w:p>
    <w:p w14:paraId="7C72E15D" w14:textId="382F6D67" w:rsidR="002161DB" w:rsidRDefault="00000000" vyd:_id="vyd:0000000000003y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zCs w:val="20"/>
        </w:rPr>
      </w:pPr>
      <w:r>
        <w:rPr>
          <w:rFonts w:ascii="Arial" w:hAnsi="Arial" w:eastAsia="Times New Roman" w:cs="Arial"/>
          <w:sz w:val="20"/>
          <w:color w:val="2F3236"/>
          <w:szCs w:val="20"/>
        </w:rPr>
        <w:t vyd:_id="vyd:00000000000044" xml:space="preserve">2. </w:t>
      </w: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43">Период проведения акции: с 1 мая 202</w:t>
      </w: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41">6 года по 25 мая 202</w:t>
      </w: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3z">6 года.</w:t>
      </w:r>
    </w:p>
    <w:p w14:paraId="5E3CA2A5" w14:textId="77777777" w:rsidR="002161DB" w:rsidRDefault="00000000" vyd:_id="vyd:0000000000003t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zCs w:val="20"/>
        </w:rPr>
      </w:pPr>
      <w:r>
        <w:rPr>
          <w:rFonts w:ascii="Arial" w:hAnsi="Arial" w:eastAsia="Times New Roman" w:cs="Arial"/>
          <w:sz w:val="20"/>
          <w:color w:val="2F3236"/>
          <w:szCs w:val="20"/>
        </w:rPr>
        <w:t vyd:_id="vyd:0000000000003x" xml:space="preserve">3. Организатором акции является ИП Корж Евгения Сергеевна (далее — Организатор). Информация об Организаторе — </w:t>
      </w:r>
      <w:r>
        <w:fldChar w:fldCharType="begin" vyd:_id="vyd:0000000000003v"/>
      </w:r>
      <w:r>
        <w:instrText>HYPERLINK "https://grandtalant.ru/svedenija-ob-obrazovatelnoj-organizatsii"</w:instrText>
      </w:r>
      <w:r>
        <w:fldChar w:fldCharType="separate"/>
      </w:r>
      <w:r>
        <w:rPr>
          <w:rStyle w:val="af5"/>
          <w:rFonts w:ascii="Arial" w:hAnsi="Arial" w:eastAsia="Times New Roman" w:cs="Arial"/>
          <w:sz w:val="20"/>
          <w:szCs w:val="20"/>
        </w:rPr>
        <w:t vyd:_id="vyd:0000000000003w">https://grandtalant.ru/svedenija-ob-obrazovatelnoj-organizatsii</w:t>
      </w:r>
      <w:r>
        <w:fldChar w:fldCharType="end" vyd:_id="vyd:0000000000003v-end"/>
      </w:r>
      <w:r>
        <w:rPr>
          <w:rFonts w:ascii="Arial" w:hAnsi="Arial" w:eastAsia="Times New Roman" w:cs="Arial"/>
          <w:sz w:val="20"/>
          <w:color w:val="2F3236"/>
          <w:szCs w:val="20"/>
        </w:rPr>
        <w:t vyd:_id="vyd:0000000000003u" xml:space="preserve"> </w:t>
      </w:r>
    </w:p>
    <w:p w14:paraId="57388981" w14:textId="77777777" w:rsidR="002161DB" w:rsidRDefault="00000000" vyd:_id="vyd:0000000000003o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zCs w:val="20"/>
        </w:rPr>
      </w:pPr>
      <w:r>
        <w:rPr>
          <w:rFonts w:ascii="Arial" w:hAnsi="Arial" w:eastAsia="Times New Roman" w:cs="Arial"/>
          <w:sz w:val="20"/>
          <w:color w:val="2F3236"/>
          <w:szCs w:val="20"/>
        </w:rPr>
        <w:t vyd:_id="vyd:0000000000003s" xml:space="preserve">4. </w:t>
      </w: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3r" xml:space="preserve">Условия акции распространяются на </w:t>
      </w:r>
      <w:r>
        <w:rPr>
          <w:rFonts w:ascii="Arial" w:hAnsi="Arial" w:cs="Arial"/>
          <w:sz w:val="20"/>
          <w:color w:val="000000"/>
          <w:b w:val="1"/>
          <w:szCs w:val="20"/>
        </w:rPr>
        <w:t vyd:_id="vyd:0000000000003q" xml:space="preserve">дополнительную общеобразовательную программу – дополнительную общеразвивающую программу </w:t>
      </w: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3p" xml:space="preserve">Организатора (далее — Программы), которая указана в Приложении № 1 к Правилам. </w:t>
      </w:r>
    </w:p>
    <w:p w14:paraId="2EFFF37B" w14:textId="77777777" w:rsidR="002161DB" w:rsidRDefault="00000000" vyd:_id="vyd:0000000000003m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zCs w:val="20"/>
        </w:rPr>
      </w:pPr>
      <w:r>
        <w:rPr>
          <w:rFonts w:ascii="Arial" w:hAnsi="Arial" w:eastAsia="Times New Roman" w:cs="Arial"/>
          <w:sz w:val="20"/>
          <w:color w:val="2F3236"/>
          <w:szCs w:val="20"/>
        </w:rPr>
        <w:t vyd:_id="vyd:0000000000003n" xml:space="preserve">5. Участником акции может стать любое физическое или юридическое лицо. </w:t>
      </w:r>
    </w:p>
    <w:p w14:paraId="2C2C7274" w14:textId="77777777" w:rsidR="002161DB" w:rsidRDefault="00000000" vyd:_id="vyd:0000000000003k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zCs w:val="20"/>
        </w:rPr>
      </w:pPr>
      <w:r>
        <w:rPr>
          <w:rFonts w:ascii="Arial" w:hAnsi="Arial" w:eastAsia="Times New Roman" w:cs="Arial"/>
          <w:sz w:val="20"/>
          <w:color w:val="2F3236"/>
          <w:szCs w:val="20"/>
        </w:rPr>
        <w:t vyd:_id="vyd:0000000000003l">6. Лицу, у которого есть желание принять участие в акции, необходимо совершить следующие действия:</w:t>
      </w:r>
    </w:p>
    <w:p w14:paraId="402F8B88" w14:textId="23D521C4" w:rsidR="002161DB" w:rsidRDefault="00000000" vyd:_id="vyd:0000000000003c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zCs w:val="20"/>
        </w:rPr>
      </w:pPr>
      <w:r>
        <w:rPr>
          <w:rFonts w:ascii="Arial" w:hAnsi="Arial" w:eastAsia="Times New Roman" w:cs="Arial"/>
          <w:sz w:val="20"/>
          <w:color w:val="2F3236"/>
          <w:szCs w:val="20"/>
        </w:rPr>
        <w:t vyd:_id="vyd:0000000000003j" xml:space="preserve">6.1. подать заявку на обучение по Программе в период </w:t>
      </w: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3i">с 1 мая 202</w:t>
      </w: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3g">6 года по 25 мая 202</w:t>
      </w: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3e">6 года</w:t>
      </w:r>
      <w:r>
        <w:rPr>
          <w:rFonts w:ascii="Arial" w:hAnsi="Arial" w:eastAsia="Times New Roman" w:cs="Arial"/>
          <w:sz w:val="20"/>
          <w:color w:val="2F3236"/>
          <w:szCs w:val="20"/>
        </w:rPr>
        <w:t vyd:_id="vyd:0000000000003d" xml:space="preserve"> включительно;</w:t>
      </w:r>
    </w:p>
    <w:p w14:paraId="7B08AD81" w14:textId="77777777" w:rsidR="002161DB" w:rsidRDefault="00000000" vyd:_id="vyd:0000000000003a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zCs w:val="20"/>
        </w:rPr>
      </w:pPr>
      <w:r>
        <w:rPr>
          <w:rFonts w:ascii="Arial" w:hAnsi="Arial" w:eastAsia="Times New Roman" w:cs="Arial"/>
          <w:sz w:val="20"/>
          <w:color w:val="2F3236"/>
          <w:szCs w:val="20"/>
        </w:rPr>
        <w:t vyd:_id="vyd:0000000000003b" xml:space="preserve">6.2. оплатить обучение по программе согласно графику платежей: </w:t>
      </w:r>
    </w:p>
    <w:p w14:paraId="16F52A8C" w14:textId="56BD6A9E" w:rsidR="002161DB" w:rsidRPr="00FB02A1" w:rsidRDefault="00000000" vyd:_id="vyd:00000000000036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zCs w:val="20"/>
        </w:rPr>
      </w:pPr>
      <w:r>
        <w:rPr>
          <w:rFonts w:ascii="Arial" w:hAnsi="Arial" w:eastAsia="Times New Roman" w:cs="Arial"/>
          <w:sz w:val="20"/>
          <w:color w:val="2F3236"/>
          <w:szCs w:val="20"/>
        </w:rPr>
        <w:t vyd:_id="vyd:00000000000039">- 5000 рублей до 25 мая 202</w:t>
      </w:r>
      <w:r>
        <w:rPr>
          <w:rFonts w:ascii="Arial" w:hAnsi="Arial" w:eastAsia="Times New Roman" w:cs="Arial"/>
          <w:sz w:val="20"/>
          <w:color w:val="2F3236"/>
          <w:szCs w:val="20"/>
        </w:rPr>
        <w:t vyd:_id="vyd:00000000000037">6 года включительно;</w:t>
      </w:r>
    </w:p>
    <w:p w14:paraId="566DF9ED" w14:textId="6D9E20F7" w:rsidR="002161DB" w:rsidRDefault="00000000" vyd:_id="vyd:00000000000032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zCs w:val="20"/>
        </w:rPr>
      </w:pPr>
      <w:r>
        <w:rPr>
          <w:rFonts w:ascii="Arial" w:hAnsi="Arial" w:eastAsia="Times New Roman" w:cs="Arial"/>
          <w:sz w:val="20"/>
          <w:color w:val="2F3236"/>
          <w:szCs w:val="20"/>
        </w:rPr>
        <w:t vyd:_id="vyd:00000000000035">- остаток стоимости программы до 25 мая 202</w:t>
      </w:r>
      <w:r>
        <w:rPr>
          <w:rFonts w:ascii="Arial" w:hAnsi="Arial" w:eastAsia="Times New Roman" w:cs="Arial"/>
          <w:sz w:val="20"/>
          <w:color w:val="2F3236"/>
          <w:szCs w:val="20"/>
        </w:rPr>
        <w:t vyd:_id="vyd:00000000000033" xml:space="preserve">6 года включительно. </w:t>
      </w:r>
    </w:p>
    <w:p w14:paraId="5419D45C" w14:textId="209AB267" w:rsidR="002161DB" w:rsidRDefault="00000000" vyd:_id="vyd:0000000000002q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zCs w:val="20"/>
        </w:rPr>
      </w:pPr>
      <w:r>
        <w:rPr>
          <w:rFonts w:ascii="Arial" w:hAnsi="Arial" w:eastAsia="Times New Roman" w:cs="Arial"/>
          <w:sz w:val="20"/>
          <w:color w:val="2F3236"/>
          <w:szCs w:val="20"/>
        </w:rPr>
        <w:t vyd:_id="vyd:00000000000031" xml:space="preserve">7. В акции участвуют только те заявки, которые были поданы </w:t>
      </w: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30">с 1 мая 202</w:t>
      </w: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2y">6 года по 25 мая 202</w:t>
      </w: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2w">6 года</w:t>
      </w:r>
      <w:r>
        <w:rPr>
          <w:rFonts w:ascii="Arial" w:hAnsi="Arial" w:eastAsia="Times New Roman" w:cs="Arial"/>
          <w:sz w:val="20"/>
          <w:color w:val="2F3236"/>
          <w:szCs w:val="20"/>
        </w:rPr>
        <w:t vyd:_id="vyd:0000000000002v" xml:space="preserve"> и оплачены </w:t>
      </w:r>
      <w:r>
        <w:rPr>
          <w:rFonts w:ascii="Arial" w:hAnsi="Arial" w:eastAsia="Times New Roman" w:cs="Arial"/>
          <w:sz w:val="20"/>
          <w:color w:val="2F3236"/>
          <w:b w:val="1"/>
          <w:szCs w:val="20"/>
        </w:rPr>
        <w:t vyd:_id="vyd:0000000000002u">до 25 мая 202</w:t>
      </w:r>
      <w:r>
        <w:rPr>
          <w:rFonts w:ascii="Arial" w:hAnsi="Arial" w:eastAsia="Times New Roman" w:cs="Arial"/>
          <w:sz w:val="20"/>
          <w:color w:val="2F3236"/>
          <w:b w:val="1"/>
          <w:szCs w:val="20"/>
        </w:rPr>
        <w:t vyd:_id="vyd:0000000000002s">6 года</w:t>
      </w:r>
      <w:r>
        <w:rPr>
          <w:rFonts w:ascii="Arial" w:hAnsi="Arial" w:eastAsia="Times New Roman" w:cs="Arial"/>
          <w:sz w:val="20"/>
          <w:color w:val="2F3236"/>
          <w:szCs w:val="20"/>
        </w:rPr>
        <w:t vyd:_id="vyd:0000000000002r" xml:space="preserve"> (п. 6 Правил).</w:t>
      </w:r>
    </w:p>
    <w:p w14:paraId="7DF4B066" w14:textId="3EA40ADE" w:rsidR="002161DB" w:rsidRDefault="00000000" vyd:_id="vyd:0000000000002i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zCs w:val="20"/>
        </w:rPr>
      </w:pPr>
      <w:r>
        <w:rPr>
          <w:rFonts w:ascii="Arial" w:hAnsi="Arial" w:eastAsia="Times New Roman" w:cs="Arial"/>
          <w:sz w:val="20"/>
          <w:color w:val="2F3236"/>
          <w:szCs w:val="20"/>
        </w:rPr>
        <w:t vyd:_id="vyd:0000000000002p" xml:space="preserve">8. Скидка предоставляется посредством уменьшения цены Программы. Цена с уже учтенной скидкой отражается в Приложении №1 к Правилам. Цена со скидкой является окончательной и действует </w:t>
      </w:r>
      <w:r>
        <w:rPr>
          <w:rFonts w:ascii="Arial" w:hAnsi="Arial" w:eastAsia="Times New Roman" w:cs="Arial"/>
          <w:sz w:val="20"/>
          <w:color w:val="2F3236"/>
          <w:b w:val="1"/>
          <w:szCs w:val="20"/>
        </w:rPr>
        <w:t vyd:_id="vyd:0000000000002o" xml:space="preserve">до </w:t>
      </w: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2n" xml:space="preserve">25 мая </w:t>
      </w:r>
      <w:r>
        <w:rPr>
          <w:rFonts w:ascii="Arial" w:hAnsi="Arial" w:eastAsia="Times New Roman" w:cs="Arial"/>
          <w:sz w:val="20"/>
          <w:color w:val="2F3236"/>
          <w:b w:val="1"/>
          <w:szCs w:val="20"/>
        </w:rPr>
        <w:t vyd:_id="vyd:0000000000002m">202</w:t>
      </w:r>
      <w:r>
        <w:rPr>
          <w:rFonts w:ascii="Arial" w:hAnsi="Arial" w:eastAsia="Times New Roman" w:cs="Arial"/>
          <w:sz w:val="20"/>
          <w:color w:val="2F3236"/>
          <w:b w:val="1"/>
          <w:szCs w:val="20"/>
        </w:rPr>
        <w:t vyd:_id="vyd:0000000000002k">6 года</w:t>
      </w:r>
      <w:r>
        <w:rPr>
          <w:rFonts w:ascii="Arial" w:hAnsi="Arial" w:eastAsia="Times New Roman" w:cs="Arial"/>
          <w:sz w:val="20"/>
          <w:color w:val="2F3236"/>
          <w:szCs w:val="20"/>
        </w:rPr>
        <w:t vyd:_id="vyd:0000000000002j">.</w:t>
      </w:r>
    </w:p>
    <w:p w14:paraId="2F20373C" w14:textId="1220BCFE" w:rsidR="002161DB" w:rsidRDefault="00000000" vyd:_id="vyd:0000000000002c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zCs w:val="20"/>
        </w:rPr>
      </w:pPr>
      <w:r>
        <w:rPr>
          <w:rFonts w:ascii="Arial" w:hAnsi="Arial" w:eastAsia="Times New Roman" w:cs="Arial"/>
          <w:sz w:val="20"/>
          <w:color w:val="2F3236"/>
          <w:szCs w:val="20"/>
        </w:rPr>
        <w:t vyd:_id="vyd:0000000000002h" xml:space="preserve">9. В случае оплаты Программы позднее </w:t>
      </w: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2g">25 мая 202</w:t>
      </w: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2e">6 года</w:t>
      </w:r>
      <w:r>
        <w:rPr>
          <w:rFonts w:ascii="Arial" w:hAnsi="Arial" w:eastAsia="Times New Roman" w:cs="Arial"/>
          <w:sz w:val="20"/>
          <w:color w:val="2F3236"/>
          <w:szCs w:val="20"/>
        </w:rPr>
        <w:t vyd:_id="vyd:0000000000002d" xml:space="preserve"> лицу необходимо оплатить полную стоимость программы без учета скидки.</w:t>
      </w:r>
    </w:p>
    <w:p w14:paraId="01F3CE25" w14:textId="77777777" w:rsidR="002161DB" w:rsidRDefault="00000000" vyd:_id="vyd:00000000000029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zCs w:val="20"/>
        </w:rPr>
      </w:pPr>
      <w:r>
        <w:rPr>
          <w:rFonts w:ascii="Arial" w:hAnsi="Arial" w:eastAsia="Times New Roman" w:cs="Arial"/>
          <w:sz w:val="20"/>
          <w:color w:val="2F3236"/>
          <w:szCs w:val="20"/>
        </w:rPr>
        <w:t vyd:_id="vyd:0000000000002b" xml:space="preserve">10. </w:t>
      </w:r>
      <w:r>
        <w:rPr>
          <w:rFonts w:ascii="Arial" w:hAnsi="Arial" w:cs="Arial"/>
          <w:sz w:val="20"/>
          <w:color w:val="000000"/>
          <w:shd w:val="clear" w:color="auto" w:fill="FFFFFF"/>
          <w:szCs w:val="20"/>
        </w:rPr>
        <w:t vyd:_id="vyd:0000000000002a">Возврат неиспользованной предоплаты в связи с досрочным расторжением договора производится только по безналичному расчету на имя владельца счета, указанного в заявлении. При досрочном расторжении договора по инициативе Участника акции сумма к возврату уменьшается на величину скидки, которая была предоставлена.</w:t>
      </w:r>
    </w:p>
    <w:p w14:paraId="013810A7" w14:textId="77777777" w:rsidR="002161DB" w:rsidRDefault="00000000" vyd:_id="vyd:00000000000027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zCs w:val="20"/>
        </w:rPr>
      </w:pPr>
      <w:r>
        <w:rPr>
          <w:rFonts w:ascii="Arial" w:hAnsi="Arial" w:eastAsia="Times New Roman" w:cs="Arial"/>
          <w:sz w:val="20"/>
          <w:color w:val="2F3236"/>
          <w:szCs w:val="20"/>
        </w:rPr>
        <w:t vyd:_id="vyd:00000000000028" xml:space="preserve">11. Акция не суммируется с другими акциями и скидками Организатора. </w:t>
      </w:r>
    </w:p>
    <w:p w14:paraId="5EE3746A" w14:textId="77777777" w:rsidR="002161DB" w:rsidRDefault="00000000" vyd:_id="vyd:00000000000022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zCs w:val="20"/>
        </w:rPr>
      </w:pPr>
      <w:r>
        <w:rPr>
          <w:rFonts w:ascii="Arial" w:hAnsi="Arial" w:eastAsia="Times New Roman" w:cs="Arial"/>
          <w:sz w:val="20"/>
          <w:color w:val="2F3236"/>
          <w:szCs w:val="20"/>
        </w:rPr>
        <w:t vyd:_id="vyd:00000000000026" xml:space="preserve">12. Условия акции, которые не урегулированы настоящими Правилами, регулируются Общими правилами проведения акций и конкурсов (далее — Общие правила). Общие правила размещены на сайте Организатора по адресу: </w:t>
      </w:r>
      <w:r>
        <w:fldChar w:fldCharType="begin" vyd:_id="vyd:00000000000024"/>
      </w:r>
      <w:r>
        <w:instrText>HYPERLINK "https://grandtalant.ru/svedenija-ob-obrazovatelnoj-organizatsii"</w:instrText>
      </w:r>
      <w:r>
        <w:fldChar w:fldCharType="separate"/>
      </w:r>
      <w:r>
        <w:rPr>
          <w:rStyle w:val="af5"/>
          <w:rFonts w:ascii="Arial" w:hAnsi="Arial" w:eastAsia="Times New Roman" w:cs="Arial"/>
          <w:sz w:val="20"/>
          <w:szCs w:val="20"/>
        </w:rPr>
        <w:t vyd:_id="vyd:00000000000025">https://grandtalant.ru/svedenija-ob-obrazovatelnoj-organizatsii</w:t>
      </w:r>
      <w:r>
        <w:fldChar w:fldCharType="end" vyd:_id="vyd:00000000000024-end"/>
      </w:r>
      <w:r>
        <w:rPr>
          <w:rFonts w:ascii="Arial" w:hAnsi="Arial" w:eastAsia="Times New Roman" w:cs="Arial"/>
          <w:sz w:val="20"/>
          <w:color w:val="2F3236"/>
          <w:szCs w:val="20"/>
        </w:rPr>
        <w:t vyd:_id="vyd:00000000000023" xml:space="preserve"> </w:t>
      </w:r>
    </w:p>
    <w:p w14:paraId="56F5FB9D" w14:textId="77777777" w:rsidR="002161DB" w:rsidRDefault="00000000" vyd:_id="vyd:00000000000020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zCs w:val="20"/>
        </w:rPr>
      </w:pPr>
      <w:r>
        <w:rPr>
          <w:rFonts w:ascii="Arial" w:hAnsi="Arial" w:eastAsia="Times New Roman" w:cs="Arial"/>
          <w:sz w:val="20"/>
          <w:color w:val="2F3236"/>
          <w:szCs w:val="20"/>
        </w:rPr>
        <w:t vyd:_id="vyd:00000000000021">13. Организатор Акции оставляет за собой право в любое время изменять условия Правил без уведомления Участников.</w:t>
      </w:r>
    </w:p>
    <w:p w14:paraId="35C29F76" w14:textId="77777777" w:rsidR="002161DB" w:rsidRDefault="00000000" vyd:_id="vyd:0000000000001y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zCs w:val="20"/>
        </w:rPr>
      </w:pPr>
      <w:r>
        <w:rPr>
          <w:rFonts w:ascii="Arial" w:hAnsi="Arial" w:eastAsia="Times New Roman" w:cs="Arial"/>
          <w:sz w:val="20"/>
          <w:color w:val="2F3236"/>
          <w:szCs w:val="20"/>
        </w:rPr>
        <w:t vyd:_id="vyd:0000000000001z" xml:space="preserve"> </w:t>
      </w:r>
    </w:p>
    <w:p w14:paraId="066C3B27" w14:textId="77777777" w:rsidR="002161DB" w:rsidRDefault="00000000" vyd:_id="vyd:0000000000001w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szCs w:val="20"/>
        </w:rPr>
      </w:pP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1x" xml:space="preserve">Приложение № 1 </w:t>
      </w:r>
    </w:p>
    <w:p w14:paraId="0125ED03" w14:textId="77777777" w:rsidR="002161DB" w:rsidRDefault="00000000" vyd:_id="vyd:0000000000001s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b w:val="1"/>
          <w:szCs w:val="20"/>
        </w:rPr>
      </w:pP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1v">к Правилам проведения акции «</w:t>
      </w:r>
      <w:r>
        <w:rPr>
          <w:rFonts w:ascii="Arial" w:hAnsi="Arial" w:eastAsia="Times New Roman" w:cs="Arial"/>
          <w:sz w:val="20"/>
          <w:color w:val="2F3236"/>
          <w:b w:val="1"/>
          <w:szCs w:val="20"/>
        </w:rPr>
        <w:t vyd:_id="vyd:0000000000001u">Раннее бронирование летних программ. Май</w:t>
      </w: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1t">»</w:t>
      </w:r>
    </w:p>
    <w:p w14:paraId="27023527" w14:textId="77777777" w:rsidR="002161DB" w:rsidRDefault="00000000" vyd:_id="vyd:0000000000001m">
      <w:p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sz w:val="20"/>
          <w:color w:val="2F3236"/>
          <w:b w:val="1"/>
          <w:szCs w:val="20"/>
        </w:rPr>
      </w:pP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1r">Список дополнительных</w:t>
      </w:r>
      <w:r>
        <w:rPr>
          <w:rFonts w:ascii="Arial" w:hAnsi="Arial" w:cs="Arial"/>
          <w:sz w:val="20"/>
          <w:color w:val="000000"/>
          <w:b w:val="1"/>
          <w:szCs w:val="20"/>
        </w:rPr>
        <w:t vyd:_id="vyd:0000000000001q" xml:space="preserve"> общеобразовательных программ – дополнительных общеразвивающих </w:t>
      </w: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1p">программ Организатора, на которые распространяются Правила акции «</w:t>
      </w:r>
      <w:r>
        <w:rPr>
          <w:rFonts w:ascii="Arial" w:hAnsi="Arial" w:eastAsia="Times New Roman" w:cs="Arial"/>
          <w:sz w:val="20"/>
          <w:color w:val="2F3236"/>
          <w:b w:val="1"/>
          <w:szCs w:val="20"/>
        </w:rPr>
        <w:t vyd:_id="vyd:0000000000001o">Раннее бронирование летних программ. Май</w:t>
      </w:r>
      <w:r>
        <w:rPr>
          <w:rFonts w:ascii="Arial" w:hAnsi="Arial" w:eastAsia="Times New Roman" w:cs="Arial"/>
          <w:sz w:val="20"/>
          <w:color w:val="2F3236"/>
          <w:b w:val="1"/>
          <w:bCs w:val="1"/>
          <w:szCs w:val="20"/>
        </w:rPr>
        <w:t vyd:_id="vyd:0000000000001n">»:</w:t>
      </w:r>
    </w:p>
    <w:tbl vyd:_id="vyd:00000000000004">
      <w:tblPr>
        <w:tblW w:w="9558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</w:tblBorders>
        <w:tblCellMar>
          <w:start w:w="0" w:type="dxa"/>
          <w:end w:w="0" w:type="dxa"/>
        </w:tblCellMar>
        <w:tblLook w:firstRow="1" w:lastRow="0" w:firstColumn="1" w:lastColumn="0" w:noHBand="0" w:noVBand="1" w:val="07c5"/>
      </w:tblPr>
      <w:tblGrid>
        <w:gridCol w:w="2470"/>
        <w:gridCol w:w="992"/>
        <w:gridCol w:w="1843"/>
        <w:gridCol w:w="1985"/>
        <w:gridCol w:w="2268"/>
      </w:tblGrid>
      <w:tr w:rsidR="002161DB" w14:paraId="07EC173B" w14:textId="77777777" vyd:_id="vyd:00000000000016">
        <w:tc vyd:_id="vyd:0000000000001j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BDE154" w14:textId="77777777" w:rsidR="002161DB" w:rsidRDefault="00000000" vyd:_id="vyd:0000000000001k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b w:val="1"/>
                <w:bCs w:val="1"/>
                <w:szCs w:val="24"/>
              </w:rPr>
              <w:t vyd:_id="vyd:0000000000001l">Программа</w:t>
            </w:r>
          </w:p>
        </w:tc>
        <w:tc vyd:_id="vyd:0000000000001g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7A0F6D" w14:textId="77777777" w:rsidR="002161DB" w:rsidRDefault="00000000" vyd:_id="vyd:0000000000001h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vyd:_id="vyd:0000000000001i">Кол-во часов</w:t>
            </w:r>
          </w:p>
        </w:tc>
        <w:tc vyd:_id="vyd:0000000000001d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AE7165" w14:textId="77777777" w:rsidR="002161DB" w:rsidRDefault="00000000" vyd:_id="vyd:0000000000001e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b w:val="1"/>
                <w:bCs w:val="1"/>
                <w:szCs w:val="24"/>
              </w:rPr>
              <w:t vyd:_id="vyd:0000000000001f">Полная стоимость</w:t>
            </w:r>
          </w:p>
        </w:tc>
        <w:tc vyd:_id="vyd:0000000000001a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vAlign w:val="center"/>
          </w:tcPr>
          <w:p w14:paraId="39411901" w14:textId="77777777" w:rsidR="002161DB" w:rsidRDefault="00000000" vyd:_id="vyd:0000000000001b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b w:val="1"/>
                <w:bCs w:val="1"/>
                <w:szCs w:val="24"/>
              </w:rPr>
              <w:t vyd:_id="vyd:0000000000001c">Скидка</w:t>
            </w:r>
          </w:p>
        </w:tc>
        <w:tc vyd:_id="vyd:00000000000017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vAlign w:val="center"/>
          </w:tcPr>
          <w:p w14:paraId="116918E1" w14:textId="77777777" w:rsidR="002161DB" w:rsidRDefault="00000000" vyd:_id="vyd:00000000000018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b w:val="1"/>
                <w:bCs w:val="1"/>
                <w:szCs w:val="24"/>
              </w:rPr>
              <w:t vyd:_id="vyd:00000000000019">Стоимость с учетом скидки</w:t>
            </w:r>
          </w:p>
        </w:tc>
      </w:tr>
      <w:tr w:rsidR="002161DB" w14:paraId="011A0FE8" w14:textId="77777777" vyd:_id="vyd:0000000000000o">
        <w:tc vyd:_id="vyd:00000000000013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43DB59" w14:textId="77777777" w:rsidR="002161DB" w:rsidRDefault="00000000" vyd:_id="vyd:00000000000014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vyd:_id="vyd:00000000000015">«Летний интенсив 10»</w:t>
            </w:r>
          </w:p>
        </w:tc>
        <w:tc vyd:_id="vyd:0000000000000z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429F8D" w14:textId="77777777" w:rsidR="002161DB" w:rsidRDefault="00000000" vyd:_id="vyd:00000000000010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vyd:_id="vyd:00000000000012" xml:space="preserve">60 </w:t>
            </w:r>
            <w:r>
              <w:rPr>
                <w:rFonts w:eastAsia="Times New Roman" w:cs="Times New Roman"/>
                <w:sz w:val="24"/>
                <w:szCs w:val="24"/>
              </w:rPr>
              <w:t vyd:_id="vyd:00000000000011">ак.ч</w:t>
            </w:r>
          </w:p>
        </w:tc>
        <w:tc vyd:_id="vyd:0000000000000w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EFC33C" w14:textId="2A6ACF3D" w:rsidR="002161DB" w:rsidRPr="00FB02A1" w:rsidRDefault="00FB02A1" vyd:_id="vyd:0000000000000x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vyd:_id="vyd:0000000000000y">33000,00 рублей</w:t>
            </w:r>
          </w:p>
        </w:tc>
        <w:tc vyd:_id="vyd:0000000000000t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vAlign w:val="center"/>
          </w:tcPr>
          <w:p w14:paraId="20219490" w14:textId="0F114CF2" w:rsidR="002161DB" w:rsidRPr="00FB02A1" w:rsidRDefault="00FB02A1" vyd:_id="vyd:0000000000000u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vyd:_id="vyd:0000000000000v">10100,00 рублей</w:t>
            </w:r>
          </w:p>
        </w:tc>
        <w:tc vyd:_id="vyd:0000000000000p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vAlign w:val="center"/>
          </w:tcPr>
          <w:p w14:paraId="434D21E4" w14:textId="754F7F3D" w:rsidR="002161DB" w:rsidRPr="00FB02A1" w:rsidRDefault="00FB02A1" vyd:_id="vyd:0000000000000q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bCs w:val="1"/>
                <w:szCs w:val="24"/>
              </w:rPr>
              <w:t vyd:_id="vyd:0000000000000s">22900</w:t>
            </w:r>
            <w:r>
              <w:rPr>
                <w:rFonts w:eastAsia="Times New Roman" w:cs="Times New Roman"/>
                <w:sz w:val="24"/>
                <w:szCs w:val="24"/>
              </w:rPr>
              <w:t vyd:_id="vyd:0000000000000r">,00 рублей</w:t>
            </w:r>
          </w:p>
        </w:tc>
      </w:tr>
      <w:tr w:rsidR="002161DB" w14:paraId="5C91AE63" w14:textId="77777777" vyd:_id="vyd:00000000000005">
        <w:trPr>
          <w:trHeight w:val="758"/>
        </w:trPr>
        <w:tc vyd:_id="vyd:0000000000000l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E0F638" w14:textId="77777777" w:rsidR="002161DB" w:rsidRDefault="00000000" vyd:_id="vyd:0000000000000m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vyd:_id="vyd:0000000000000n">«Летний интенсив 5»</w:t>
            </w:r>
          </w:p>
        </w:tc>
        <w:tc vyd:_id="vyd:0000000000000h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52B25D" w14:textId="77777777" w:rsidR="002161DB" w:rsidRDefault="00000000" vyd:_id="vyd:0000000000000i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vyd:_id="vyd:0000000000000k" xml:space="preserve">30 </w:t>
            </w:r>
            <w:r>
              <w:rPr>
                <w:rFonts w:eastAsia="Times New Roman" w:cs="Times New Roman"/>
                <w:sz w:val="24"/>
                <w:szCs w:val="24"/>
              </w:rPr>
              <w:t vyd:_id="vyd:0000000000000j">ак.ч</w:t>
            </w:r>
          </w:p>
        </w:tc>
        <w:tc vyd:_id="vyd:0000000000000e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916DEF" w14:textId="70659D85" w:rsidR="002161DB" w:rsidRPr="00FB02A1" w:rsidRDefault="00FB02A1" vyd:_id="vyd:0000000000000f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vyd:_id="vyd:0000000000000g">16500,00 рублей</w:t>
            </w:r>
          </w:p>
        </w:tc>
        <w:tc vyd:_id="vyd:0000000000000b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vAlign w:val="center"/>
          </w:tcPr>
          <w:p w14:paraId="7D331C9F" w14:textId="275EE4A3" w:rsidR="002161DB" w:rsidRPr="00FB02A1" w:rsidRDefault="00FB02A1" vyd:_id="vyd:0000000000000c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vyd:_id="vyd:0000000000000d">2600,00 рублей</w:t>
            </w:r>
          </w:p>
        </w:tc>
        <w:tc vyd:_id="vyd:00000000000006">
          <w:tcPr>
            <w:tcBorders>
              <w:top w:val="single" w:color="BEBEBE" w:sz="4" w:space="0"/>
              <w:start w:val="single" w:color="BEBEBE" w:sz="4" w:space="0"/>
              <w:bottom w:val="single" w:color="BEBEBE" w:sz="4" w:space="0"/>
              <w:end w:val="single" w:color="BEBEBE" w:sz="4" w:space="0"/>
            </w:tcBorders>
            <w:vAlign w:val="center"/>
          </w:tcPr>
          <w:p w14:paraId="2CDE05CF" w14:textId="22B24A8C" w:rsidR="002161DB" w:rsidRPr="00FB02A1" w:rsidRDefault="00000000" vyd:_id="vyd:00000000000007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vyd:_id="vyd:0000000000000a">1</w:t>
            </w:r>
            <w:r>
              <w:rPr>
                <w:rFonts w:eastAsia="Times New Roman" w:cs="Times New Roman"/>
                <w:sz w:val="24"/>
                <w:szCs w:val="24"/>
              </w:rPr>
              <w:t vyd:_id="vyd:00000000000009">3</w:t>
            </w:r>
            <w:r>
              <w:rPr>
                <w:rFonts w:eastAsia="Times New Roman" w:cs="Times New Roman"/>
                <w:sz w:val="24"/>
                <w:szCs w:val="24"/>
              </w:rPr>
              <w:t vyd:_id="vyd:00000000000008">900,00 рублей</w:t>
            </w:r>
          </w:p>
        </w:tc>
      </w:tr>
    </w:tbl>
    <w:p w14:paraId="5BDC0426" w14:textId="77777777" w:rsidR="002161DB" w:rsidRDefault="002161DB" vyd:_id="vyd:00000000000003"/>
    <w:sectPr vyd:_id="vyd:00000000000002" w:rsidR="002161DB">
      <w:type w:val="nextPage"/>
      <w:pgSz w:w="11906" w:h="16838" w:orient="portrait"/>
      <w:pgMar w:top="1418" w:right="1276" w:bottom="1134" w:left="1559" w:header="709" w:footer="709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unk1="http://schemas.microsoft.com/office/word/2024/wordml/sdtformatlock" xmlns:unk2="http://schemas.microsoft.com/office/word/2023/wordml/word16du" xmlns:w="http://schemas.openxmlformats.org/wordprocessingml/2006/main" xmlns:mc="http://schemas.openxmlformats.org/markup-compatibility/2006" xmlns:wp14="http://schemas.microsoft.com/office/word/2010/wordprocessingDrawing" xmlns:w16cid="http://schemas.microsoft.com/office/word/2016/wordml/cid"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16cex="http://schemas.microsoft.com/office/word/2018/wordml/cex" xmlns:w16se="http://schemas.microsoft.com/office/word/2015/wordml/symex" mc:Ignorable="w14 w15 w16se w16cid w16 w16cex w16sdtdh unk1 unk2 wp14">
  <w:endnote w:type="separator" w:id="-1">
    <w:p w14:paraId="70165C46" w14:textId="77777777" w:rsidR="001D0AF1" w:rsidRDefault="001D0AF1">
      <w:r>
        <w:separator/>
      </w:r>
    </w:p>
  </w:endnote>
  <w:endnote w:type="continuationSeparator" w:id="0">
    <w:p w14:paraId="14BBD45D" w14:textId="77777777" w:rsidR="001D0AF1" w:rsidRDefault="001D0AF1">
      <w:r>
        <w:continuationSeparator/>
      </w:r>
    </w:p>
  </w:endnote>
</w:endnotes>
</file>

<file path=word/fontTable.xml><?xml version="1.0" encoding="utf-8"?>
<w:fonts xmlns:w16se="http://schemas.microsoft.com/office/word/2015/wordml/symex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xmlns:w14="http://schemas.microsoft.com/office/word/2010/wordml" xmlns:w="http://schemas.openxmlformats.org/wordprocessingml/2006/main" mc:Ignorable="w14 w15 w16se w16cid w16 w16cex w16sdtdh unk1 unk2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unk1="http://schemas.microsoft.com/office/word/2024/wordml/sdtformatlock" xmlns:unk2="http://schemas.microsoft.com/office/word/2023/wordml/word16du" xmlns:w="http://schemas.openxmlformats.org/wordprocessingml/2006/main" xmlns:mc="http://schemas.openxmlformats.org/markup-compatibility/2006" xmlns:wp14="http://schemas.microsoft.com/office/word/2010/wordprocessingDrawing" xmlns:w16cid="http://schemas.microsoft.com/office/word/2016/wordml/cid"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16cex="http://schemas.microsoft.com/office/word/2018/wordml/cex" xmlns:w16se="http://schemas.microsoft.com/office/word/2015/wordml/symex" mc:Ignorable="w14 w15 w16se w16cid w16 w16cex w16sdtdh unk1 unk2 wp14">
  <w:footnote w:type="separator" w:id="-1">
    <w:p w14:paraId="7C237DDB" w14:textId="77777777" w:rsidR="001D0AF1" w:rsidRDefault="001D0AF1">
      <w:r>
        <w:separator/>
      </w:r>
    </w:p>
  </w:footnote>
  <w:footnote w:type="continuationSeparator" w:id="0">
    <w:p w14:paraId="359960FC" w14:textId="77777777" w:rsidR="001D0AF1" w:rsidRDefault="001D0AF1">
      <w:r>
        <w:continuationSeparator/>
      </w:r>
    </w:p>
  </w:footnote>
</w:footnotes>
</file>

<file path=word/settings.xml><?xml version="1.0" encoding="utf-8"?>
<w:settings xmlns:w14="http://schemas.microsoft.com/office/word/2010/wordml" xmlns:w15="http://schemas.microsoft.com/office/word/2012/wordml" xmlns:w="http://schemas.openxmlformats.org/wordprocessingml/2006/main" xmlns:v="urn:schemas-microsoft-com:vml" xmlns:o="urn:schemas-microsoft-com:office:office" xmlns:m="http://schemas.openxmlformats.org/officeDocument/2006/math">
  <w14:docId w14:val="22C2681F"/>
  <w15:docId w15:val="{3983C06D-6761-414F-B7C4-056D55D2C73B}"/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1DB"/>
    <w:rsid w:val="001D0AF1"/>
    <w:rsid w:val="002161DB"/>
    <w:rsid w:val="00951DA6"/>
    <w:rsid w:val="00A47833"/>
    <w:rsid w:val="00B9378B"/>
    <w:rsid w:val="00BA7D33"/>
    <w:rsid w:val="00FB02A1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Theme="minorHAnsi" w:cstheme="minorBidi"/>
        <w:sz w:val="28"/>
        <w:lang w:val="ru-RU"/>
        <w:szCs w:val="22"/>
      </w:rPr>
    </w:r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5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7F7F7F" w:themeColor="text1" w:themeTint="8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single" w:color="7F7F7F" w:themeColor="text1" w:themeTint="8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7F7F7F" w:themeColor="text1" w:themeTint="8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single" w:color="7F7F7F" w:themeColor="text1" w:themeTint="8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paragraph" w:styleId="1">
    <w:name w:val="heading 1"/>
    <w:basedOn w:val="a"/>
    <w:next w:val="a"/>
    <w:link w:val="10"/>
    <w:uiPriority w:val="9"/>
    <w:qFormat w:val="1"/>
    <w:pPr>
      <w:keepNext w:val="1"/>
      <w:keepLines w:val="1"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12">
    <w:name w:val="toc 1"/>
    <w:basedOn w:val="a"/>
    <w:next w:val="a"/>
    <w:uiPriority w:val="39"/>
    <w:unhideWhenUsed w:val="1"/>
    <w:pPr>
      <w:spacing w:after="57"/>
    </w:pPr>
  </w:style>
  <w:style w:type="paragraph" w:styleId="2">
    <w:name w:val="heading 2"/>
    <w:basedOn w:val="a"/>
    <w:next w:val="a"/>
    <w:link w:val="20"/>
    <w:uiPriority w:val="9"/>
    <w:unhideWhenUsed w:val="1"/>
    <w:qFormat w:val="1"/>
    <w:pPr>
      <w:keepNext w:val="1"/>
      <w:keepLines w:val="1"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paragraph" w:styleId="21">
    <w:name w:val="Quote"/>
    <w:basedOn w:val="a"/>
    <w:next w:val="a"/>
    <w:link w:val="22"/>
    <w:uiPriority w:val="29"/>
    <w:qFormat w:val="1"/>
    <w:pPr>
      <w:ind w:start="720" w:end="720"/>
    </w:pPr>
    <w:rPr>
      <w:i w:val="1"/>
    </w:rPr>
  </w:style>
  <w:style w:type="character" w:styleId="22" w:customStyle="1">
    <w:name w:val="Цитата 2 Знак"/>
    <w:link w:val="21"/>
    <w:uiPriority w:val="29"/>
    <w:rPr>
      <w:i w:val="1"/>
    </w:r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24">
    <w:name w:val="toc 2"/>
    <w:basedOn w:val="a"/>
    <w:next w:val="a"/>
    <w:uiPriority w:val="39"/>
    <w:unhideWhenUsed w:val="1"/>
    <w:pPr>
      <w:spacing w:after="57"/>
      <w:ind w:start="283"/>
    </w:pPr>
  </w:style>
  <w:style w:type="paragraph" w:styleId="3">
    <w:name w:val="heading 3"/>
    <w:basedOn w:val="a"/>
    <w:next w:val="a"/>
    <w:link w:val="30"/>
    <w:uiPriority w:val="9"/>
    <w:unhideWhenUsed w:val="1"/>
    <w:qFormat w:val="1"/>
    <w:pPr>
      <w:keepNext w:val="1"/>
      <w:keepLines w:val="1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paragraph" w:styleId="32">
    <w:name w:val="toc 3"/>
    <w:basedOn w:val="a"/>
    <w:next w:val="a"/>
    <w:uiPriority w:val="39"/>
    <w:unhideWhenUsed w:val="1"/>
    <w:pPr>
      <w:spacing w:after="57"/>
      <w:ind w:start="567"/>
    </w:pPr>
  </w:style>
  <w:style w:type="paragraph" w:styleId="4">
    <w:name w:val="heading 4"/>
    <w:basedOn w:val="a"/>
    <w:next w:val="a"/>
    <w:link w:val="40"/>
    <w:uiPriority w:val="9"/>
    <w:unhideWhenUsed w:val="1"/>
    <w:qFormat w:val="1"/>
    <w:pPr>
      <w:keepNext w:val="1"/>
      <w:keepLines w:val="1"/>
      <w:spacing w:before="320" w:after="20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sz w:val="26"/>
      <w:b w:val="1"/>
      <w:bCs w:val="1"/>
      <w:szCs w:val="26"/>
    </w:r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paragraph" w:styleId="42">
    <w:name w:val="toc 4"/>
    <w:basedOn w:val="a"/>
    <w:next w:val="a"/>
    <w:uiPriority w:val="39"/>
    <w:unhideWhenUsed w:val="1"/>
    <w:pPr>
      <w:spacing w:after="57"/>
      <w:ind w:start="850"/>
    </w:pPr>
  </w:style>
  <w:style w:type="paragraph" w:styleId="5">
    <w:name w:val="heading 5"/>
    <w:basedOn w:val="a"/>
    <w:next w:val="a"/>
    <w:link w:val="50"/>
    <w:uiPriority w:val="9"/>
    <w:unhideWhenUsed w:val="1"/>
    <w:qFormat w:val="1"/>
    <w:pPr>
      <w:keepNext w:val="1"/>
      <w:keepLines w:val="1"/>
      <w:spacing w:before="320" w:after="20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sz w:val="24"/>
      <w:b w:val="1"/>
      <w:bCs w:val="1"/>
      <w:szCs w:val="24"/>
    </w:r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paragraph" w:styleId="52">
    <w:name w:val="toc 5"/>
    <w:basedOn w:val="a"/>
    <w:next w:val="a"/>
    <w:uiPriority w:val="39"/>
    <w:unhideWhenUsed w:val="1"/>
    <w:pPr>
      <w:spacing w:after="57"/>
      <w:ind w:start="1134"/>
    </w:pPr>
  </w:style>
  <w:style w:type="paragraph" w:styleId="6">
    <w:name w:val="heading 6"/>
    <w:basedOn w:val="a"/>
    <w:next w:val="a"/>
    <w:link w:val="60"/>
    <w:uiPriority w:val="9"/>
    <w:unhideWhenUsed w:val="1"/>
    <w:qFormat w:val="1"/>
    <w:pPr>
      <w:keepNext w:val="1"/>
      <w:keepLines w:val="1"/>
      <w:spacing w:before="320" w:after="200"/>
      <w:outlineLvl w:val="5"/>
    </w:pPr>
    <w:rPr>
      <w:rFonts w:ascii="Arial" w:hAnsi="Arial" w:eastAsia="Arial" w:cs="Arial"/>
      <w:sz w:val="22"/>
      <w:b w:val="1"/>
      <w:bCs w:val="1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sz w:val="22"/>
      <w:b w:val="1"/>
      <w:bCs w:val="1"/>
      <w:szCs w:val="22"/>
    </w:rPr>
  </w:style>
  <w:style w:type="paragraph" w:styleId="61">
    <w:name w:val="toc 6"/>
    <w:basedOn w:val="a"/>
    <w:next w:val="a"/>
    <w:uiPriority w:val="39"/>
    <w:unhideWhenUsed w:val="1"/>
    <w:pPr>
      <w:spacing w:after="57"/>
      <w:ind w:start="1417"/>
    </w:pPr>
  </w:style>
  <w:style w:type="paragraph" w:styleId="7">
    <w:name w:val="heading 7"/>
    <w:basedOn w:val="a"/>
    <w:next w:val="a"/>
    <w:link w:val="70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rFonts w:ascii="Arial" w:hAnsi="Arial" w:eastAsia="Arial" w:cs="Arial"/>
      <w:sz w:val="22"/>
      <w:b w:val="1"/>
      <w:i w:val="1"/>
      <w:bCs w:val="1"/>
      <w:iCs w:val="1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71">
    <w:name w:val="toc 7"/>
    <w:basedOn w:val="a"/>
    <w:next w:val="a"/>
    <w:uiPriority w:val="39"/>
    <w:unhideWhenUsed w:val="1"/>
    <w:pPr>
      <w:spacing w:after="57"/>
      <w:ind w:start="1701"/>
    </w:pPr>
  </w:style>
  <w:style w:type="paragraph" w:styleId="8">
    <w:name w:val="heading 8"/>
    <w:basedOn w:val="a"/>
    <w:next w:val="a"/>
    <w:link w:val="80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rFonts w:ascii="Arial" w:hAnsi="Arial" w:eastAsia="Arial" w:cs="Arial"/>
      <w:sz w:val="22"/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sz w:val="22"/>
      <w:i w:val="1"/>
      <w:iCs w:val="1"/>
      <w:szCs w:val="22"/>
    </w:rPr>
  </w:style>
  <w:style w:type="paragraph" w:styleId="81">
    <w:name w:val="toc 8"/>
    <w:basedOn w:val="a"/>
    <w:next w:val="a"/>
    <w:uiPriority w:val="39"/>
    <w:unhideWhenUsed w:val="1"/>
    <w:pPr>
      <w:spacing w:after="57"/>
      <w:ind w:start="1984"/>
    </w:pPr>
  </w:style>
  <w:style w:type="paragraph" w:styleId="9">
    <w:name w:val="heading 9"/>
    <w:basedOn w:val="a"/>
    <w:next w:val="a"/>
    <w:link w:val="90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91">
    <w:name w:val="toc 9"/>
    <w:basedOn w:val="a"/>
    <w:next w:val="a"/>
    <w:uiPriority w:val="39"/>
    <w:unhideWhenUsed w:val="1"/>
    <w:pPr>
      <w:spacing w:after="57"/>
      <w:ind w:start="2268"/>
    </w:pPr>
  </w:style>
  <w:style w:type="table" w:styleId="Bordered" w:customStyle="1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F81BD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F81BD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12" w:space="0"/>
        </w:tcBorders>
      </w:tcPr>
    </w:tblStylePr>
  </w:style>
  <w:style w:type="table" w:styleId="BorderedLined-Accent" w:customStyle="1">
    <w:name w:val="Bordered &amp;amp; Lined - Accent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Lined-Accent1" w:customStyle="1">
    <w:name w:val="Bordered &amp;amp; Lined - Accent 1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BorderedLined-Accent2" w:customStyle="1">
    <w:name w:val="Bordered &amp;amp; Lined - Accent 2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BorderedLined-Accent3" w:customStyle="1">
    <w:name w:val="Bordered &amp;amp; Lined - Accent 3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BorderedLined-Accent4" w:customStyle="1">
    <w:name w:val="Bordered &amp;amp; Lined - Accent 4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BorderedLined-Accent5" w:customStyle="1">
    <w:name w:val="Bordered &amp;amp; Lined - Accent 5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BorderedLined-Accent6" w:customStyle="1">
    <w:name w:val="Bordered &amp;amp; Lined - Accent 6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character" w:styleId="CaptionChar" w:customStyle="1">
    <w:name w:val="Caption Char"/>
    <w:uiPriority w:val="99"/>
  </w:style>
  <w:style w:type="character" w:styleId="FooterChar" w:customStyle="1">
    <w:name w:val="Footer Char"/>
    <w:basedOn w:val="a0"/>
    <w:uiPriority w:val="99"/>
  </w:style>
  <w:style w:type="table" w:styleId="GridTable1Light-Accent1" w:customStyle="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7B4D8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DA989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4D79D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B4A4C8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5CEDD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AC192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-Accent1" w:customStyle="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D8AC2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-Accent1" w:customStyle="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D8AC2" w:themeColor="accent1" w:themeTint="EA" w:sz="4" w:space="0"/>
          <w:start w:val="single" w:color="5D8AC2" w:themeColor="accent1" w:themeTint="EA" w:sz="4" w:space="0"/>
          <w:bottom w:val="single" w:color="5D8AC2" w:themeColor="accent1" w:themeTint="EA" w:sz="4" w:space="0"/>
          <w:end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D99695" w:themeColor="accent2" w:themeTint="97" w:sz="4" w:space="0"/>
          <w:start w:val="single" w:color="D99695" w:themeColor="accent2" w:themeTint="97" w:sz="4" w:space="0"/>
          <w:bottom w:val="single" w:color="D99695" w:themeColor="accent2" w:themeTint="97" w:sz="4" w:space="0"/>
          <w:end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9ABB59" w:themeColor="accent3" w:themeTint="FE" w:sz="4" w:space="0"/>
          <w:start w:val="single" w:color="9ABB59" w:themeColor="accent3" w:themeTint="FE" w:sz="4" w:space="0"/>
          <w:bottom w:val="single" w:color="9ABB59" w:themeColor="accent3" w:themeTint="FE" w:sz="4" w:space="0"/>
          <w:end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B2A1C6" w:themeColor="accent4" w:themeTint="9A" w:sz="4" w:space="0"/>
          <w:start w:val="single" w:color="B2A1C6" w:themeColor="accent4" w:themeTint="9A" w:sz="4" w:space="0"/>
          <w:bottom w:val="single" w:color="B2A1C6" w:themeColor="accent4" w:themeTint="9A" w:sz="4" w:space="0"/>
          <w:end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BACC6" w:themeColor="accent5" w:sz="4" w:space="0"/>
          <w:start w:val="single" w:color="4BACC6" w:themeColor="accent5" w:sz="4" w:space="0"/>
          <w:bottom w:val="single" w:color="4BACC6" w:themeColor="accent5" w:sz="4" w:space="0"/>
          <w:end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79646" w:themeColor="accent6" w:sz="4" w:space="0"/>
          <w:start w:val="single" w:color="F79646" w:themeColor="accent6" w:sz="4" w:space="0"/>
          <w:bottom w:val="single" w:color="F79646" w:themeColor="accent6" w:sz="4" w:space="0"/>
          <w:end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</w:tcBorders>
      </w:tcPr>
    </w:tblStylePr>
  </w:style>
  <w:style w:type="table" w:styleId="GridTable5Dark-Accent1" w:customStyle="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blPr/>
      <w:tcPr>
        <w:shd w:val="clear" w:color="AEC4E0" w:themeColor="accent1" w:themeTint="75" w:fill="AEC4E0" w:themeFill="accent1" w:themeFillTint="75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GridTable5Dark-Accent2" w:customStyle="1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GridTable5Dark-Accent3" w:customStyle="1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blPr/>
      <w:tcPr>
        <w:shd w:val="clear" w:color="D0DFB2" w:themeColor="accent3" w:themeTint="75" w:fill="D0DFB2" w:themeFill="accent3" w:themeFillTint="75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GridTable5Dark-Accent4" w:customStyle="1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GridTable5Dark-Accent5" w:customStyle="1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GridTable5Dark-Accent6" w:customStyle="1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GridTable6Colorful-Accent1" w:customStyle="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rPr>
        <w:color w:val="A6BFDD" w:themeColor="accent1" w:themeTint="80" w:themeShade="95"/>
        <w:b w:val="1"/>
      </w:rPr>
    </w:tblStylePr>
    <w:tblStylePr w:type="firstRow">
      <w:rPr>
        <w:color w:val="A6BFDD" w:themeColor="accent1" w:themeTint="80" w:themeShade="95"/>
        <w:b w:val="1"/>
      </w:rPr>
      <w:tblPr/>
      <w:tcPr>
        <w:tcBorders>
          <w:bottom w:val="single" w:color="A6BFDD" w:themeColor="accent1" w:themeTint="80" w:sz="12" w:space="0"/>
        </w:tcBorders>
      </w:tcPr>
    </w:tblStylePr>
    <w:tblStylePr w:type="lastCol">
      <w:rPr>
        <w:color w:val="A6BFDD" w:themeColor="accent1" w:themeTint="80" w:themeShade="95"/>
        <w:b w:val="1"/>
      </w:rPr>
    </w:tblStylePr>
    <w:tblStylePr w:type="lastRow">
      <w:rPr>
        <w:color w:val="A6BFDD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rPr>
        <w:color w:val="9ABB59" w:themeColor="accent3" w:themeTint="FE" w:themeShade="95"/>
        <w:b w:val="1"/>
      </w:rPr>
    </w:tblStylePr>
    <w:tblStylePr w:type="firstRow">
      <w:rPr>
        <w:color w:val="9ABB59" w:themeColor="accent3" w:themeTint="FE" w:themeShade="95"/>
        <w:b w:val="1"/>
      </w:rPr>
      <w:tblPr/>
      <w:tcPr>
        <w:tcBorders>
          <w:bottom w:val="single" w:color="9ABB59" w:themeColor="accent3" w:themeTint="FE" w:sz="12" w:space="0"/>
        </w:tcBorders>
      </w:tcPr>
    </w:tblStylePr>
    <w:tblStylePr w:type="lastCol">
      <w:rPr>
        <w:color w:val="9ABB59" w:themeColor="accent3" w:themeTint="FE" w:themeShade="95"/>
        <w:b w:val="1"/>
      </w:rPr>
    </w:tblStylePr>
    <w:tblStylePr w:type="lastRow">
      <w:rPr>
        <w:color w:val="9ABB59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7Colorful-Accent1" w:customStyle="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A6BFDD" w:themeColor="accent1" w:themeTint="8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auto" w:sz="0" w:space="0"/>
          <w:start w:val="single" w:color="A6BFDD" w:themeColor="accent1" w:themeTint="8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single" w:color="A6BFDD" w:themeColor="accent1" w:themeTint="8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D99695" w:themeColor="accent2" w:themeTint="97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auto" w:sz="0" w:space="0"/>
          <w:start w:val="single" w:color="D99695" w:themeColor="accent2" w:themeTint="97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9ABB59" w:themeColor="accent3" w:themeTint="FE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auto" w:sz="0" w:space="0"/>
          <w:start w:val="single" w:color="9ABB59" w:themeColor="accent3" w:themeTint="FE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single" w:color="9ABB59" w:themeColor="accent3" w:themeTint="FE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B2A1C6" w:themeColor="accent4" w:themeTint="9A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auto" w:sz="0" w:space="0"/>
          <w:start w:val="single" w:color="B2A1C6" w:themeColor="accent4" w:themeTint="9A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99D0DE" w:themeColor="accent5" w:themeTint="9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auto" w:sz="0" w:space="0"/>
          <w:start w:val="single" w:color="99D0DE" w:themeColor="accent5" w:themeTint="9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single" w:color="99D0DE" w:themeColor="accent5" w:themeTint="9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sz w:val="22"/>
        <w:color w:val="B15407" w:themeColor="accent6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154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FAC396" w:themeColor="accent6" w:themeTint="9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auto" w:sz="0" w:space="0"/>
          <w:start w:val="single" w:color="FAC396" w:themeColor="accent6" w:themeTint="9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single" w:color="FAC396" w:themeColor="accent6" w:themeTint="9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character" w:styleId="HeaderChar" w:customStyle="1">
    <w:name w:val="Header Char"/>
    <w:basedOn w:val="a0"/>
    <w:uiPriority w:val="99"/>
  </w:style>
  <w:style w:type="table" w:styleId="Lined-Accent" w:customStyle="1">
    <w:name w:val="Lined - Accent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Lined-Accent2" w:customStyle="1">
    <w:name w:val="Lined - Accent 2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Lined-Accent3" w:customStyle="1">
    <w:name w:val="Lined - Accent 3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Lined-Accent4" w:customStyle="1">
    <w:name w:val="Lined - Accent 4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Lined-Accent5" w:customStyle="1">
    <w:name w:val="Lined - Accent 5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Lined-Accent6" w:customStyle="1">
    <w:name w:val="Lined - Accent 6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table" w:styleId="ListTable1Light-Accent1" w:customStyle="1">
    <w:name w:val="List Table 1 Light - Accent 1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C0504D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C0504D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BBB59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BBB59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8064A2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8064A2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F81BD" w:themeColor="accent1" w:sz="4" w:space="0"/>
          <w:end w:val="single" w:color="4F81BD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4" w:space="0"/>
          <w:end w:val="single" w:color="D99695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4" w:space="0"/>
          <w:end w:val="single" w:color="C3D69B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3D69B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4" w:space="0"/>
          <w:end w:val="single" w:color="B2A1C6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4" w:space="0"/>
          <w:end w:val="single" w:color="92CCDC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2CCDC" w:themeColor="accent5" w:themeTint="9A" w:fill="92CC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4" w:space="0"/>
          <w:end w:val="single" w:color="FAC09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AC090" w:themeColor="accent6" w:themeTint="98" w:fill="FAC0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-Accent1" w:customStyle="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F81BD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F81BD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D99695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D99695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3D69B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3D69B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B2A1C6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B2A1C6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2CCDC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2CCDC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AC090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FAC09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-Accent1" w:customStyle="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rPr>
        <w:color w:val="2A4A71" w:themeColor="accent1" w:themeShade="95"/>
        <w:b w:val="1"/>
      </w:rPr>
    </w:tblStylePr>
    <w:tblStylePr w:type="firstRow">
      <w:rPr>
        <w:color w:val="2A4A71" w:themeColor="accent1" w:themeShade="95"/>
        <w:b w:val="1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color w:val="2A4A71" w:themeColor="accent1" w:themeShade="95"/>
        <w:b w:val="1"/>
      </w:rPr>
    </w:tblStylePr>
    <w:tblStylePr w:type="lastRow">
      <w:rPr>
        <w:color w:val="2A4A71" w:themeColor="accent1" w:themeShade="95"/>
        <w:b w:val="1"/>
      </w:rPr>
      <w:tblPr/>
      <w:tcPr>
        <w:tcBorders>
          <w:top w:val="single" w:color="4F81BD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4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rPr>
        <w:color w:val="C3D69B" w:themeColor="accent3" w:themeTint="98" w:themeShade="95"/>
        <w:b w:val="1"/>
      </w:rPr>
    </w:tblStylePr>
    <w:tblStylePr w:type="firstRow">
      <w:rPr>
        <w:color w:val="C3D69B" w:themeColor="accent3" w:themeTint="98" w:themeShade="95"/>
        <w:b w:val="1"/>
      </w:rPr>
      <w:tblPr/>
      <w:tcPr>
        <w:tcBorders>
          <w:bottom w:val="single" w:color="C3D69B" w:themeColor="accent3" w:themeTint="98" w:sz="4" w:space="0"/>
        </w:tcBorders>
      </w:tcPr>
    </w:tblStylePr>
    <w:tblStylePr w:type="lastCol">
      <w:rPr>
        <w:color w:val="C3D69B" w:themeColor="accent3" w:themeTint="98" w:themeShade="95"/>
        <w:b w:val="1"/>
      </w:rPr>
    </w:tblStylePr>
    <w:tblStylePr w:type="lastRow">
      <w:rPr>
        <w:color w:val="C3D69B" w:themeColor="accent3" w:themeTint="98" w:themeShade="95"/>
        <w:b w:val="1"/>
      </w:rPr>
      <w:tblPr/>
      <w:tcPr>
        <w:tcBorders>
          <w:top w:val="single" w:color="C3D69B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4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rPr>
        <w:color w:val="92CCDC" w:themeColor="accent5" w:themeTint="9A" w:themeShade="95"/>
        <w:b w:val="1"/>
      </w:rPr>
    </w:tblStylePr>
    <w:tblStylePr w:type="firstRow">
      <w:rPr>
        <w:color w:val="92CCDC" w:themeColor="accent5" w:themeTint="9A" w:themeShade="95"/>
        <w:b w:val="1"/>
      </w:rPr>
      <w:tblPr/>
      <w:tcPr>
        <w:tcBorders>
          <w:bottom w:val="single" w:color="92CCDC" w:themeColor="accent5" w:themeTint="9A" w:sz="4" w:space="0"/>
        </w:tcBorders>
      </w:tcPr>
    </w:tblStylePr>
    <w:tblStylePr w:type="lastCol">
      <w:rPr>
        <w:color w:val="92CCDC" w:themeColor="accent5" w:themeTint="9A" w:themeShade="95"/>
        <w:b w:val="1"/>
      </w:rPr>
    </w:tblStylePr>
    <w:tblStylePr w:type="lastRow">
      <w:rPr>
        <w:color w:val="92CCDC" w:themeColor="accent5" w:themeTint="9A" w:themeShade="95"/>
        <w:b w:val="1"/>
      </w:rPr>
      <w:tblPr/>
      <w:tcPr>
        <w:tcBorders>
          <w:top w:val="single" w:color="92CCDC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rPr>
        <w:color w:val="FAC090" w:themeColor="accent6" w:themeTint="98" w:themeShade="95"/>
        <w:b w:val="1"/>
      </w:rPr>
    </w:tblStylePr>
    <w:tblStylePr w:type="firstRow">
      <w:rPr>
        <w:color w:val="FAC090" w:themeColor="accent6" w:themeTint="98" w:themeShade="95"/>
        <w:b w:val="1"/>
      </w:rPr>
      <w:tblPr/>
      <w:tcPr>
        <w:tcBorders>
          <w:bottom w:val="single" w:color="FAC090" w:themeColor="accent6" w:themeTint="98" w:sz="4" w:space="0"/>
        </w:tcBorders>
      </w:tcPr>
    </w:tblStylePr>
    <w:tblStylePr w:type="lastCol">
      <w:rPr>
        <w:color w:val="FAC090" w:themeColor="accent6" w:themeTint="98" w:themeShade="95"/>
        <w:b w:val="1"/>
      </w:rPr>
    </w:tblStylePr>
    <w:tblStylePr w:type="lastRow">
      <w:rPr>
        <w:color w:val="FAC090" w:themeColor="accent6" w:themeTint="98" w:themeShade="95"/>
        <w:b w:val="1"/>
      </w:rPr>
      <w:tblPr/>
      <w:tcPr>
        <w:tcBorders>
          <w:top w:val="single" w:color="FAC090" w:themeColor="accent6" w:themeTint="98" w:sz="4" w:space="0"/>
        </w:tcBorders>
      </w:tcPr>
    </w:tblStylePr>
  </w:style>
  <w:style w:type="table" w:styleId="ListTable7Colorful-Accent1" w:customStyle="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4F81BD" w:themeColor="accent1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auto" w:sz="0" w:space="0"/>
          <w:start w:val="single" w:color="4F81BD" w:themeColor="accent1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single" w:color="4F81BD" w:themeColor="accent1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D99695" w:themeColor="accent2" w:themeTint="97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auto" w:sz="0" w:space="0"/>
          <w:start w:val="single" w:color="D99695" w:themeColor="accent2" w:themeTint="97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single" w:color="D99695" w:themeColor="accent2" w:themeTint="97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C3D69B" w:themeColor="accent3" w:themeTint="98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auto" w:sz="0" w:space="0"/>
          <w:start w:val="single" w:color="C3D69B" w:themeColor="accent3" w:themeTint="98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single" w:color="C3D69B" w:themeColor="accent3" w:themeTint="98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B2A1C6" w:themeColor="accent4" w:themeTint="9A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auto" w:sz="0" w:space="0"/>
          <w:start w:val="single" w:color="B2A1C6" w:themeColor="accent4" w:themeTint="9A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single" w:color="B2A1C6" w:themeColor="accent4" w:themeTint="9A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92CCDC" w:themeColor="accent5" w:themeTint="9A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auto" w:sz="0" w:space="0"/>
          <w:start w:val="single" w:color="92CCDC" w:themeColor="accent5" w:themeTint="9A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single" w:color="92CCDC" w:themeColor="accent5" w:themeTint="9A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FAC090" w:themeColor="accent6" w:themeTint="98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auto" w:sz="0" w:space="0"/>
          <w:start w:val="single" w:color="FAC090" w:themeColor="accent6" w:themeTint="98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single" w:color="FAC090" w:themeColor="accent6" w:themeTint="98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TableGridLight" w:customStyle="1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pPr>
      <w:ind w:start="720"/>
      <w:contextualSpacing w:val="1"/>
    </w:pPr>
  </w:style>
  <w:style w:type="paragraph" w:styleId="a4">
    <w:name w:val="No Spacing"/>
    <w:uiPriority w:val="1"/>
    <w:qFormat w:val="1"/>
  </w:style>
  <w:style w:type="paragraph" w:styleId="a5">
    <w:name w:val="Title"/>
    <w:basedOn w:val="a"/>
    <w:next w:val="a"/>
    <w:link w:val="a6"/>
    <w:uiPriority w:val="10"/>
    <w:qFormat w:val="1"/>
    <w:pPr>
      <w:spacing w:before="300" w:after="200"/>
      <w:contextualSpacing w:val="1"/>
    </w:pPr>
    <w:rPr>
      <w:sz w:val="48"/>
      <w:szCs w:val="48"/>
    </w:rPr>
  </w:style>
  <w:style w:type="character" w:styleId="a6" w:customStyle="1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 w:val="1"/>
    <w:pPr>
      <w:spacing w:before="200" w:after="200"/>
    </w:pPr>
    <w:rPr>
      <w:sz w:val="24"/>
      <w:szCs w:val="24"/>
    </w:rPr>
  </w:style>
  <w:style w:type="character" w:styleId="a8" w:customStyle="1">
    <w:name w:val="Подзаголовок Знак"/>
    <w:basedOn w:val="a0"/>
    <w:link w:val="a7"/>
    <w:uiPriority w:val="11"/>
    <w:rPr>
      <w:sz w:val="24"/>
      <w:szCs w:val="24"/>
    </w:rPr>
  </w:style>
  <w:style w:type="paragraph" w:styleId="a9">
    <w:name w:val="Intense Quote"/>
    <w:basedOn w:val="a"/>
    <w:next w:val="a"/>
    <w:link w:val="aa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a" w:customStyle="1">
    <w:name w:val="Выделенная цитата Знак"/>
    <w:link w:val="a9"/>
    <w:uiPriority w:val="30"/>
    <w:rPr>
      <w:i w:val="1"/>
    </w:rPr>
  </w:style>
  <w:style w:type="paragraph" w:styleId="ab">
    <w:name w:val="caption"/>
    <w:basedOn w:val="a"/>
    <w:next w:val="a"/>
    <w:uiPriority w:val="35"/>
    <w:semiHidden w:val="1"/>
    <w:unhideWhenUsed w:val="1"/>
    <w:qFormat w:val="1"/>
    <w:pPr>
      <w:spacing w:line="276" w:lineRule="auto"/>
    </w:pPr>
    <w:rPr>
      <w:sz w:val="18"/>
      <w:color w:val="4F81BD" w:themeColor="accent1"/>
      <w:b w:val="1"/>
      <w:bCs w:val="1"/>
      <w:szCs w:val="18"/>
    </w:rPr>
  </w:style>
  <w:style w:type="table" w:styleId="ac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d">
    <w:name w:val="footnote text"/>
    <w:basedOn w:val="a"/>
    <w:link w:val="ae"/>
    <w:uiPriority w:val="99"/>
    <w:semiHidden w:val="1"/>
    <w:unhideWhenUsed w:val="1"/>
    <w:pPr>
      <w:spacing w:after="40"/>
    </w:pPr>
    <w:rPr>
      <w:sz w:val="18"/>
    </w:rPr>
  </w:style>
  <w:style w:type="character" w:styleId="ae" w:customStyle="1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 w:val="1"/>
    <w:rPr>
      <w:vertAlign w:val="superscript"/>
    </w:rPr>
  </w:style>
  <w:style w:type="paragraph" w:styleId="af0">
    <w:name w:val="endnote text"/>
    <w:basedOn w:val="a"/>
    <w:link w:val="af1"/>
    <w:uiPriority w:val="99"/>
    <w:semiHidden w:val="1"/>
    <w:unhideWhenUsed w:val="1"/>
    <w:rPr>
      <w:sz w:val="20"/>
    </w:rPr>
  </w:style>
  <w:style w:type="character" w:styleId="af1" w:customStyle="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 w:val="1"/>
    <w:unhideWhenUsed w:val="1"/>
    <w:rPr>
      <w:vertAlign w:val="superscript"/>
    </w:rPr>
  </w:style>
  <w:style w:type="paragraph" w:styleId="af3">
    <w:name w:val="TOC Heading"/>
    <w:uiPriority w:val="39"/>
    <w:unhideWhenUsed w:val="1"/>
  </w:style>
  <w:style w:type="paragraph" w:styleId="af4">
    <w:name w:val="table of figures"/>
    <w:basedOn w:val="a"/>
    <w:next w:val="a"/>
    <w:uiPriority w:val="99"/>
    <w:unhideWhenUsed w:val="1"/>
  </w:style>
  <w:style w:type="character" w:styleId="af5">
    <w:name w:val="Hyperlink"/>
    <w:basedOn w:val="a0"/>
    <w:uiPriority w:val="99"/>
    <w:unhideWhenUsed w:val="1"/>
    <w:rPr>
      <w:color w:val="0000FF"/>
      <w:u w:val="single"/>
    </w:rPr>
  </w:style>
  <w:style w:type="paragraph" w:styleId="af6">
    <w:name w:val="header"/>
    <w:basedOn w:val="a"/>
    <w:link w:val="af7"/>
    <w:uiPriority w:val="99"/>
    <w:semiHidden w:val="1"/>
    <w:unhideWhenUsed w:val="1"/>
    <w:pPr>
      <w:tabs>
        <w:tab w:val="center" w:pos="4677"/>
        <w:tab w:val="right" w:pos="9355"/>
      </w:tabs>
    </w:pPr>
  </w:style>
  <w:style w:type="character" w:styleId="af7" w:customStyle="1">
    <w:name w:val="Верхний колонтитул Знак"/>
    <w:basedOn w:val="a0"/>
    <w:link w:val="af6"/>
    <w:uiPriority w:val="99"/>
    <w:semiHidden w:val="1"/>
  </w:style>
  <w:style w:type="paragraph" w:styleId="af8">
    <w:name w:val="footer"/>
    <w:basedOn w:val="a"/>
    <w:link w:val="af9"/>
    <w:uiPriority w:val="99"/>
    <w:semiHidden w:val="1"/>
    <w:unhideWhenUsed w:val="1"/>
    <w:pPr>
      <w:tabs>
        <w:tab w:val="center" w:pos="4677"/>
        <w:tab w:val="right" w:pos="9355"/>
      </w:tabs>
    </w:pPr>
  </w:style>
  <w:style w:type="character" w:styleId="af9" w:customStyle="1">
    <w:name w:val="Нижний колонтитул Знак"/>
    <w:basedOn w:val="a0"/>
    <w:link w:val="af8"/>
    <w:uiPriority w:val="99"/>
    <w:semiHidden w:val="1"/>
  </w:style>
</w:styles>
</file>

<file path=word/webSettings.xml><?xml version="1.0" encoding="utf-8"?>
<w:webSettings xmlns:w16se="http://schemas.microsoft.com/office/word/2015/wordml/symex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xmlns:w14="http://schemas.microsoft.com/office/word/2010/wordml" xmlns:w="http://schemas.openxmlformats.org/wordprocessingml/2006/main" mc:Ignorable="w14 w15 w16se w16cid w16 w16cex w16sdtdh unk1 unk2">
  <w:optimizeForBrowser/>
</w:webSettings>
</file>

<file path=word/_rels/document.xml.rels><?xml version="1.0" 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randtalant.ru/svedenija-ob-obrazovatelnoj-organizatsi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andtalant.ru/svedenija-ob-obrazovatelnoj-organizatsi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6</ep:TotalTime>
  <ep:Pages>2</ep:Pages>
  <ep:Words>469</ep:Words>
  <ep:Characters>2674</ep:Characters>
  <ep:Application>Microsoft Office Word</ep:Application>
  <ep:DocSecurity>0</ep:DocSecurity>
  <ep:Lines>22</ep:Lines>
  <ep:Paragraphs>6</ep:Paragraphs>
  <ep:ScaleCrop>false</ep:ScaleCrop>
  <ep:Company/>
  <ep:LinksUpToDate>false</ep:LinksUpToDate>
  <ep:CharactersWithSpaces>3137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Евгения</dc:creator>
  <cp:keywords/>
  <dc:description/>
  <cp:lastModifiedBy>Антон Корж</cp:lastModifiedBy>
  <cp:revision>8</cp:revision>
  <dcterms:created xsi:type="dcterms:W3CDTF">2024-03-19T09:06:00Z</dcterms:created>
  <dcterms:modified xsi:type="dcterms:W3CDTF">2025-03-05T14:17:00Z</dcterms:modified>
</cp:coreProperties>
</file>